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Fonts w:hint="eastAsia" w:ascii="方正仿宋_GBK" w:hAnsi="SimSun" w:eastAsia="方正仿宋_GBK"/>
          <w:sz w:val="30"/>
          <w:szCs w:val="30"/>
        </w:rPr>
      </w:pPr>
      <w:bookmarkStart w:id="1" w:name="_GoBack"/>
      <w:bookmarkEnd w:id="1"/>
    </w:p>
    <w:p>
      <w:pPr>
        <w:spacing w:line="360" w:lineRule="auto"/>
        <w:rPr>
          <w:rFonts w:hint="eastAsia" w:ascii="方正仿宋_GBK" w:hAnsi="SimSun" w:eastAsia="方正仿宋_GBK"/>
          <w:sz w:val="30"/>
          <w:szCs w:val="30"/>
        </w:rPr>
      </w:pPr>
      <w:r>
        <w:rPr>
          <w:rFonts w:hint="eastAsia" w:ascii="方正仿宋_GBK" w:hAnsi="SimSun" w:eastAsia="方正仿宋_GBK"/>
          <w:sz w:val="30"/>
          <w:szCs w:val="30"/>
        </w:rPr>
        <w:t>附件：</w:t>
      </w:r>
    </w:p>
    <w:p>
      <w:pPr>
        <w:spacing w:line="360" w:lineRule="auto"/>
        <w:jc w:val="center"/>
        <w:rPr>
          <w:rFonts w:ascii="方正小标宋_GBK" w:eastAsia="方正小标宋_GBK"/>
          <w:b/>
          <w:sz w:val="32"/>
          <w:szCs w:val="32"/>
        </w:rPr>
      </w:pPr>
      <w:r>
        <w:rPr>
          <w:rFonts w:hint="eastAsia" w:ascii="方正小标宋_GBK" w:eastAsia="方正小标宋_GBK"/>
          <w:b/>
          <w:sz w:val="32"/>
          <w:szCs w:val="32"/>
        </w:rPr>
        <w:t>西方语言文化学院</w:t>
      </w:r>
    </w:p>
    <w:p>
      <w:pPr>
        <w:spacing w:line="360" w:lineRule="auto"/>
        <w:jc w:val="center"/>
        <w:rPr>
          <w:rFonts w:ascii="方正小标宋_GBK" w:eastAsia="方正小标宋_GBK"/>
          <w:b/>
          <w:sz w:val="32"/>
          <w:szCs w:val="32"/>
        </w:rPr>
      </w:pPr>
      <w:r>
        <w:rPr>
          <w:rFonts w:hint="eastAsia" w:ascii="方正小标宋_GBK" w:eastAsia="方正小标宋_GBK"/>
          <w:b/>
          <w:sz w:val="32"/>
          <w:szCs w:val="32"/>
        </w:rPr>
        <w:t>本科毕业生免试攻读硕士研究生推荐综合成绩测评细则</w:t>
      </w:r>
    </w:p>
    <w:p>
      <w:pPr>
        <w:spacing w:line="360" w:lineRule="auto"/>
        <w:ind w:firstLine="570"/>
        <w:rPr>
          <w:sz w:val="28"/>
          <w:szCs w:val="28"/>
        </w:rPr>
      </w:pPr>
    </w:p>
    <w:p>
      <w:pPr>
        <w:spacing w:line="360" w:lineRule="auto"/>
        <w:ind w:firstLine="570"/>
        <w:rPr>
          <w:rFonts w:ascii="方正仿宋_GBK" w:eastAsia="方正仿宋_GBK"/>
          <w:sz w:val="30"/>
          <w:szCs w:val="30"/>
        </w:rPr>
      </w:pPr>
      <w:r>
        <w:rPr>
          <w:rFonts w:hint="eastAsia" w:ascii="方正仿宋_GBK" w:eastAsia="方正仿宋_GBK"/>
          <w:sz w:val="30"/>
          <w:szCs w:val="30"/>
        </w:rPr>
        <w:t>申请报名学生的成绩综合测评总分由专业成绩和各项加分构成。</w:t>
      </w:r>
    </w:p>
    <w:p>
      <w:pPr>
        <w:spacing w:line="360" w:lineRule="auto"/>
        <w:ind w:firstLine="570"/>
        <w:rPr>
          <w:rFonts w:ascii="方正仿宋_GBK" w:eastAsia="方正仿宋_GBK"/>
          <w:sz w:val="30"/>
          <w:szCs w:val="30"/>
          <w:u w:val="single"/>
        </w:rPr>
      </w:pPr>
      <w:r>
        <w:rPr>
          <w:rFonts w:hint="eastAsia" w:ascii="方正仿宋_GBK" w:eastAsia="方正仿宋_GBK"/>
          <w:sz w:val="30"/>
          <w:szCs w:val="30"/>
          <w:u w:val="single"/>
        </w:rPr>
        <w:t>综合测评成绩 = 专业成绩×90%  + 加分×10%</w:t>
      </w:r>
    </w:p>
    <w:p>
      <w:pPr>
        <w:spacing w:line="360" w:lineRule="auto"/>
        <w:ind w:firstLine="573"/>
        <w:outlineLvl w:val="0"/>
        <w:rPr>
          <w:rFonts w:ascii="方正仿宋_GBK" w:eastAsia="方正仿宋_GBK"/>
          <w:b/>
          <w:sz w:val="30"/>
          <w:szCs w:val="30"/>
        </w:rPr>
      </w:pPr>
      <w:r>
        <w:rPr>
          <w:rFonts w:hint="eastAsia" w:ascii="方正仿宋_GBK" w:eastAsia="方正仿宋_GBK"/>
          <w:b/>
          <w:sz w:val="30"/>
          <w:szCs w:val="30"/>
        </w:rPr>
        <w:t>1．专业成绩（占总分值90%）</w:t>
      </w:r>
    </w:p>
    <w:p>
      <w:pPr>
        <w:spacing w:line="360" w:lineRule="auto"/>
        <w:ind w:firstLine="570"/>
        <w:rPr>
          <w:rFonts w:ascii="方正仿宋_GBK" w:eastAsia="方正仿宋_GBK"/>
          <w:sz w:val="30"/>
          <w:szCs w:val="30"/>
        </w:rPr>
      </w:pPr>
      <w:r>
        <w:rPr>
          <w:rFonts w:hint="eastAsia" w:ascii="方正仿宋_GBK" w:eastAsia="方正仿宋_GBK"/>
          <w:sz w:val="30"/>
          <w:szCs w:val="30"/>
        </w:rPr>
        <w:t>专业成绩为大一至大三学年各学期各门专业必修课和专业限选课成绩平均分（算术平均分）。</w:t>
      </w:r>
    </w:p>
    <w:p>
      <w:pPr>
        <w:spacing w:line="360" w:lineRule="auto"/>
        <w:ind w:firstLine="570"/>
        <w:rPr>
          <w:rFonts w:ascii="方正仿宋_GBK" w:eastAsia="方正仿宋_GBK"/>
          <w:sz w:val="30"/>
          <w:szCs w:val="30"/>
        </w:rPr>
      </w:pPr>
      <w:r>
        <w:rPr>
          <w:rFonts w:hint="eastAsia" w:ascii="方正仿宋_GBK" w:eastAsia="方正仿宋_GBK"/>
          <w:sz w:val="30"/>
          <w:szCs w:val="30"/>
        </w:rPr>
        <w:t>注：（1）各门专业课程成绩是指该门课程每学期期末考试总评分，均以第一次成绩为准，不包含重修刷分。</w:t>
      </w:r>
    </w:p>
    <w:p>
      <w:pPr>
        <w:spacing w:line="360" w:lineRule="auto"/>
        <w:ind w:firstLine="600" w:firstLineChars="200"/>
        <w:rPr>
          <w:rFonts w:ascii="方正仿宋_GBK" w:eastAsia="方正仿宋_GBK"/>
          <w:sz w:val="30"/>
          <w:szCs w:val="30"/>
        </w:rPr>
      </w:pPr>
      <w:r>
        <w:rPr>
          <w:rFonts w:hint="eastAsia" w:ascii="方正仿宋_GBK" w:eastAsia="方正仿宋_GBK"/>
          <w:sz w:val="30"/>
          <w:szCs w:val="30"/>
        </w:rPr>
        <w:t>（2）经学校同意到指定的国内外高校交流学习学生的学业成绩测评：鉴于各高校成绩评分标准不一致，因此在国内外高校交流学习期间的课程分数不纳入测评范围。</w:t>
      </w:r>
    </w:p>
    <w:p>
      <w:pPr>
        <w:spacing w:line="360" w:lineRule="auto"/>
        <w:ind w:firstLine="600" w:firstLineChars="200"/>
        <w:rPr>
          <w:rFonts w:ascii="方正仿宋_GBK" w:eastAsia="方正仿宋_GBK"/>
          <w:sz w:val="30"/>
          <w:szCs w:val="30"/>
        </w:rPr>
      </w:pPr>
      <w:r>
        <w:rPr>
          <w:rFonts w:hint="eastAsia" w:ascii="方正仿宋_GBK" w:eastAsia="方正仿宋_GBK"/>
          <w:sz w:val="30"/>
          <w:szCs w:val="30"/>
        </w:rPr>
        <w:t>（3）转专业的学生计算其转入我院后修读的课程成绩，学业成绩计算方法和我院其他学生一致。</w:t>
      </w:r>
    </w:p>
    <w:p>
      <w:pPr>
        <w:spacing w:line="360" w:lineRule="auto"/>
        <w:ind w:firstLine="573"/>
        <w:outlineLvl w:val="0"/>
        <w:rPr>
          <w:rFonts w:ascii="方正仿宋_GBK" w:eastAsia="方正仿宋_GBK"/>
          <w:b/>
          <w:sz w:val="30"/>
          <w:szCs w:val="30"/>
        </w:rPr>
      </w:pPr>
      <w:r>
        <w:rPr>
          <w:rFonts w:hint="eastAsia" w:ascii="方正仿宋_GBK" w:eastAsia="方正仿宋_GBK"/>
          <w:b/>
          <w:sz w:val="30"/>
          <w:szCs w:val="30"/>
        </w:rPr>
        <w:t>2．加分（占总分值10%）</w:t>
      </w:r>
    </w:p>
    <w:p>
      <w:pPr>
        <w:spacing w:line="360" w:lineRule="auto"/>
        <w:ind w:firstLine="570"/>
        <w:rPr>
          <w:rFonts w:ascii="方正仿宋_GBK" w:eastAsia="方正仿宋_GBK"/>
          <w:sz w:val="30"/>
          <w:szCs w:val="30"/>
        </w:rPr>
      </w:pPr>
      <w:r>
        <w:rPr>
          <w:rFonts w:hint="eastAsia" w:ascii="方正仿宋_GBK" w:eastAsia="方正仿宋_GBK"/>
          <w:sz w:val="30"/>
          <w:szCs w:val="30"/>
        </w:rPr>
        <w:t>加分参照以下列表。</w:t>
      </w:r>
    </w:p>
    <w:p>
      <w:pPr>
        <w:spacing w:line="360" w:lineRule="auto"/>
        <w:ind w:firstLine="570"/>
        <w:rPr>
          <w:rFonts w:ascii="方正仿宋_GBK" w:eastAsia="方正仿宋_GBK"/>
          <w:sz w:val="30"/>
          <w:szCs w:val="30"/>
        </w:rPr>
      </w:pPr>
    </w:p>
    <w:tbl>
      <w:tblPr>
        <w:tblStyle w:val="10"/>
        <w:tblW w:w="9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3"/>
        <w:gridCol w:w="4291"/>
        <w:gridCol w:w="659"/>
        <w:gridCol w:w="765"/>
        <w:gridCol w:w="929"/>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86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加分项目</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分值</w:t>
            </w:r>
          </w:p>
        </w:tc>
        <w:tc>
          <w:tcPr>
            <w:tcW w:w="929"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限定分1</w:t>
            </w:r>
          </w:p>
        </w:tc>
        <w:tc>
          <w:tcPr>
            <w:tcW w:w="1004"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限定分2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trPr>
        <w:tc>
          <w:tcPr>
            <w:tcW w:w="1573"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学术竞赛类</w:t>
            </w: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全国特等奖</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40</w:t>
            </w:r>
          </w:p>
        </w:tc>
        <w:tc>
          <w:tcPr>
            <w:tcW w:w="929"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40</w:t>
            </w:r>
          </w:p>
        </w:tc>
        <w:tc>
          <w:tcPr>
            <w:tcW w:w="1004"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1573" w:type="dxa"/>
            <w:vMerge w:val="continue"/>
            <w:noWrap/>
            <w:vAlign w:val="center"/>
          </w:tcPr>
          <w:p>
            <w:pPr>
              <w:widowControl/>
              <w:spacing w:line="360" w:lineRule="auto"/>
              <w:jc w:val="center"/>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全国一等奖</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35</w:t>
            </w:r>
          </w:p>
        </w:tc>
        <w:tc>
          <w:tcPr>
            <w:tcW w:w="929" w:type="dxa"/>
            <w:vMerge w:val="continue"/>
            <w:noWrap/>
            <w:vAlign w:val="center"/>
          </w:tcPr>
          <w:p>
            <w:pPr>
              <w:widowControl/>
              <w:spacing w:line="360" w:lineRule="auto"/>
              <w:jc w:val="center"/>
              <w:rPr>
                <w:rFonts w:hint="eastAsia" w:ascii="等线" w:hAnsi="等线" w:eastAsia="等线" w:cs="SimSun"/>
                <w:kern w:val="0"/>
                <w:sz w:val="22"/>
              </w:rPr>
            </w:pPr>
          </w:p>
        </w:tc>
        <w:tc>
          <w:tcPr>
            <w:tcW w:w="1004" w:type="dxa"/>
            <w:vMerge w:val="continue"/>
            <w:noWrap/>
            <w:vAlign w:val="center"/>
          </w:tcPr>
          <w:p>
            <w:pPr>
              <w:widowControl/>
              <w:spacing w:line="360" w:lineRule="auto"/>
              <w:jc w:val="center"/>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全国二等奖</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30</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全国三等奖</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25</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赛区、省（市）级特等奖</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w:t>
            </w:r>
            <w:r>
              <w:rPr>
                <w:rFonts w:ascii="等线" w:hAnsi="等线" w:eastAsia="等线" w:cs="SimSun"/>
                <w:kern w:val="0"/>
                <w:sz w:val="22"/>
              </w:rPr>
              <w:t>0</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赛区、省（市）级一等奖</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15</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赛区、省（市）级二等奖</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10</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赛区、省（市）级三等奖</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5</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校级竞赛一等奖</w:t>
            </w:r>
          </w:p>
        </w:tc>
        <w:tc>
          <w:tcPr>
            <w:tcW w:w="659"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0.</w:t>
            </w:r>
            <w:r>
              <w:rPr>
                <w:rFonts w:ascii="等线" w:hAnsi="等线" w:eastAsia="等线" w:cs="SimSun"/>
                <w:kern w:val="0"/>
                <w:sz w:val="22"/>
              </w:rPr>
              <w:t>3</w:t>
            </w:r>
          </w:p>
        </w:tc>
        <w:tc>
          <w:tcPr>
            <w:tcW w:w="765"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0.5</w:t>
            </w:r>
          </w:p>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18"/>
                <w:szCs w:val="18"/>
              </w:rPr>
              <w:t>（最高分）</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校级竞赛二等奖</w:t>
            </w:r>
          </w:p>
        </w:tc>
        <w:tc>
          <w:tcPr>
            <w:tcW w:w="659"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0.</w:t>
            </w:r>
            <w:r>
              <w:rPr>
                <w:rFonts w:ascii="等线" w:hAnsi="等线" w:eastAsia="等线" w:cs="SimSun"/>
                <w:kern w:val="0"/>
                <w:sz w:val="22"/>
              </w:rPr>
              <w:t>2</w:t>
            </w:r>
          </w:p>
        </w:tc>
        <w:tc>
          <w:tcPr>
            <w:tcW w:w="765" w:type="dxa"/>
            <w:vMerge w:val="continue"/>
            <w:noWrap/>
            <w:vAlign w:val="center"/>
          </w:tcPr>
          <w:p>
            <w:pPr>
              <w:widowControl/>
              <w:spacing w:line="360" w:lineRule="auto"/>
              <w:jc w:val="center"/>
              <w:rPr>
                <w:rFonts w:hint="eastAsia" w:ascii="等线" w:hAnsi="等线" w:eastAsia="等线" w:cs="SimSun"/>
                <w:kern w:val="0"/>
                <w:sz w:val="22"/>
              </w:rPr>
            </w:pP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校级竞赛三等奖</w:t>
            </w:r>
          </w:p>
        </w:tc>
        <w:tc>
          <w:tcPr>
            <w:tcW w:w="659"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0.1</w:t>
            </w:r>
          </w:p>
        </w:tc>
        <w:tc>
          <w:tcPr>
            <w:tcW w:w="765" w:type="dxa"/>
            <w:vMerge w:val="continue"/>
            <w:noWrap/>
            <w:vAlign w:val="center"/>
          </w:tcPr>
          <w:p>
            <w:pPr>
              <w:widowControl/>
              <w:spacing w:line="360" w:lineRule="auto"/>
              <w:rPr>
                <w:rFonts w:hint="eastAsia" w:ascii="等线" w:hAnsi="等线" w:eastAsia="等线" w:cs="SimSun"/>
                <w:kern w:val="0"/>
                <w:sz w:val="22"/>
              </w:rPr>
            </w:pP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restart"/>
            <w:noWrap/>
            <w:vAlign w:val="center"/>
          </w:tcPr>
          <w:p>
            <w:pPr>
              <w:widowControl/>
              <w:spacing w:line="360" w:lineRule="auto"/>
              <w:jc w:val="center"/>
              <w:rPr>
                <w:rFonts w:hint="eastAsia" w:ascii="等线" w:hAnsi="等线" w:eastAsia="等线" w:cs="SimSun"/>
                <w:kern w:val="0"/>
                <w:sz w:val="22"/>
              </w:rPr>
            </w:pPr>
            <w:bookmarkStart w:id="0" w:name="_Hlk233706184"/>
            <w:r>
              <w:rPr>
                <w:rFonts w:hint="eastAsia" w:ascii="等线" w:hAnsi="等线" w:eastAsia="等线" w:cs="SimSun"/>
                <w:kern w:val="0"/>
                <w:sz w:val="22"/>
              </w:rPr>
              <w:t>论文类</w:t>
            </w: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A类成果</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40</w:t>
            </w:r>
          </w:p>
        </w:tc>
        <w:tc>
          <w:tcPr>
            <w:tcW w:w="929"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40</w:t>
            </w: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B类成果</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35</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 xml:space="preserve">C类成果 </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20-30</w:t>
            </w:r>
          </w:p>
          <w:p>
            <w:pPr>
              <w:widowControl/>
              <w:spacing w:line="360" w:lineRule="auto"/>
              <w:jc w:val="center"/>
              <w:rPr>
                <w:rFonts w:hint="eastAsia" w:ascii="等线" w:hAnsi="等线" w:eastAsia="等线" w:cs="SimSun"/>
                <w:kern w:val="0"/>
                <w:sz w:val="22"/>
              </w:rPr>
            </w:pPr>
            <w:r>
              <w:rPr>
                <w:rFonts w:hint="eastAsia" w:ascii="方正仿宋_GBK" w:hAnsi="方正仿宋_GBK" w:cs="方正仿宋_GBK"/>
                <w:kern w:val="0"/>
                <w:sz w:val="23"/>
                <w:szCs w:val="23"/>
              </w:rPr>
              <w:t>（详见说明）</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其他非核心类省级期刊</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0.5</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restart"/>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项目类</w:t>
            </w: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国家级一等结题</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10</w:t>
            </w:r>
          </w:p>
        </w:tc>
        <w:tc>
          <w:tcPr>
            <w:tcW w:w="929" w:type="dxa"/>
            <w:vMerge w:val="restart"/>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1</w:t>
            </w:r>
            <w:r>
              <w:rPr>
                <w:rFonts w:ascii="等线" w:hAnsi="等线" w:eastAsia="等线" w:cs="SimSun"/>
                <w:kern w:val="0"/>
                <w:sz w:val="22"/>
              </w:rPr>
              <w:t>0</w:t>
            </w: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国家级二等结题</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7</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国家级三等结题</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5</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发明专利类</w:t>
            </w: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已批准的发明专利第一发明人</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25</w:t>
            </w:r>
          </w:p>
        </w:tc>
        <w:tc>
          <w:tcPr>
            <w:tcW w:w="929"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25</w:t>
            </w: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已批准的发明专利第二发明人</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ascii="等线" w:hAnsi="等线" w:eastAsia="等线" w:cs="SimSun"/>
                <w:kern w:val="0"/>
                <w:sz w:val="22"/>
              </w:rPr>
              <w:t>15</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参军服役类</w:t>
            </w: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参军服役荣立三等功</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20</w:t>
            </w:r>
          </w:p>
        </w:tc>
        <w:tc>
          <w:tcPr>
            <w:tcW w:w="929"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20</w:t>
            </w:r>
          </w:p>
        </w:tc>
        <w:tc>
          <w:tcPr>
            <w:tcW w:w="1004"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参军服役并获“优秀士兵”称号</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1</w:t>
            </w:r>
            <w:r>
              <w:rPr>
                <w:rFonts w:ascii="等线" w:hAnsi="等线" w:eastAsia="等线" w:cs="SimSun"/>
                <w:kern w:val="0"/>
                <w:sz w:val="22"/>
              </w:rPr>
              <w:t>5</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参军服役</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10</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志愿服务类</w:t>
            </w:r>
          </w:p>
        </w:tc>
        <w:tc>
          <w:tcPr>
            <w:tcW w:w="4291" w:type="dxa"/>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服务总时长超过120小时且参加国家级以上重大赛会志愿服务。</w:t>
            </w:r>
          </w:p>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（经学院或学校认可同意）</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5</w:t>
            </w:r>
          </w:p>
        </w:tc>
        <w:tc>
          <w:tcPr>
            <w:tcW w:w="929"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5</w:t>
            </w:r>
          </w:p>
        </w:tc>
        <w:tc>
          <w:tcPr>
            <w:tcW w:w="1004"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服务总时长超过120小时且参加省部级以上重大赛会志愿服务并获评优秀志愿者。（经学院或学校认可同意）</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3</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服务总时长超过80小时</w:t>
            </w:r>
          </w:p>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（经学院或学校认可同意）</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1</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国际组织实习</w:t>
            </w: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A类组织1年以上</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20</w:t>
            </w:r>
          </w:p>
        </w:tc>
        <w:tc>
          <w:tcPr>
            <w:tcW w:w="929"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20</w:t>
            </w:r>
          </w:p>
        </w:tc>
        <w:tc>
          <w:tcPr>
            <w:tcW w:w="1004"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A类组织6个月-1年</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15</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2"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A类组织3-6个月</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10</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A类组织1-3个月</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8</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B类组织1年以上</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9</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B类组织6个月-1年</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7</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B类组织3-6个月</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6</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vMerge w:val="continue"/>
            <w:vAlign w:val="center"/>
          </w:tcPr>
          <w:p>
            <w:pPr>
              <w:widowControl/>
              <w:spacing w:line="360" w:lineRule="auto"/>
              <w:jc w:val="left"/>
              <w:rPr>
                <w:rFonts w:hint="eastAsia" w:ascii="等线" w:hAnsi="等线" w:eastAsia="等线" w:cs="SimSun"/>
                <w:kern w:val="0"/>
                <w:sz w:val="22"/>
              </w:rPr>
            </w:pP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B类组织1-3个月</w:t>
            </w:r>
          </w:p>
        </w:tc>
        <w:tc>
          <w:tcPr>
            <w:tcW w:w="1424" w:type="dxa"/>
            <w:gridSpan w:val="2"/>
            <w:noWrap/>
            <w:vAlign w:val="center"/>
          </w:tcPr>
          <w:p>
            <w:pPr>
              <w:widowControl/>
              <w:spacing w:line="360" w:lineRule="auto"/>
              <w:jc w:val="center"/>
              <w:rPr>
                <w:rFonts w:hint="eastAsia" w:ascii="等线" w:hAnsi="等线" w:eastAsia="等线" w:cs="SimSun"/>
                <w:kern w:val="0"/>
                <w:sz w:val="22"/>
              </w:rPr>
            </w:pPr>
            <w:r>
              <w:rPr>
                <w:rFonts w:ascii="等线" w:hAnsi="等线" w:eastAsia="等线" w:cs="SimSun"/>
                <w:kern w:val="0"/>
                <w:sz w:val="22"/>
              </w:rPr>
              <w:t>5</w:t>
            </w:r>
          </w:p>
        </w:tc>
        <w:tc>
          <w:tcPr>
            <w:tcW w:w="929" w:type="dxa"/>
            <w:vMerge w:val="continue"/>
            <w:vAlign w:val="center"/>
          </w:tcPr>
          <w:p>
            <w:pPr>
              <w:widowControl/>
              <w:spacing w:line="360" w:lineRule="auto"/>
              <w:jc w:val="left"/>
              <w:rPr>
                <w:rFonts w:hint="eastAsia" w:ascii="等线" w:hAnsi="等线" w:eastAsia="等线" w:cs="SimSun"/>
                <w:kern w:val="0"/>
                <w:sz w:val="22"/>
              </w:rPr>
            </w:pP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社会实践奖</w:t>
            </w: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国家级</w:t>
            </w:r>
          </w:p>
        </w:tc>
        <w:tc>
          <w:tcPr>
            <w:tcW w:w="2353" w:type="dxa"/>
            <w:gridSpan w:val="3"/>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3</w:t>
            </w:r>
          </w:p>
        </w:tc>
        <w:tc>
          <w:tcPr>
            <w:tcW w:w="1004" w:type="dxa"/>
            <w:vMerge w:val="restart"/>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文艺项目奖</w:t>
            </w: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国家级</w:t>
            </w:r>
          </w:p>
        </w:tc>
        <w:tc>
          <w:tcPr>
            <w:tcW w:w="2353" w:type="dxa"/>
            <w:gridSpan w:val="3"/>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3</w:t>
            </w:r>
          </w:p>
        </w:tc>
        <w:tc>
          <w:tcPr>
            <w:tcW w:w="1004" w:type="dxa"/>
            <w:vMerge w:val="continue"/>
            <w:vAlign w:val="center"/>
          </w:tcPr>
          <w:p>
            <w:pPr>
              <w:widowControl/>
              <w:spacing w:line="360" w:lineRule="auto"/>
              <w:jc w:val="left"/>
              <w:rPr>
                <w:rFonts w:hint="eastAsia" w:ascii="等线" w:hAnsi="等线" w:eastAsia="等线" w:cs="SimSu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573"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体育项目奖</w:t>
            </w:r>
          </w:p>
        </w:tc>
        <w:tc>
          <w:tcPr>
            <w:tcW w:w="4291" w:type="dxa"/>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国家级</w:t>
            </w:r>
          </w:p>
        </w:tc>
        <w:tc>
          <w:tcPr>
            <w:tcW w:w="2353" w:type="dxa"/>
            <w:gridSpan w:val="3"/>
            <w:noWrap/>
            <w:vAlign w:val="center"/>
          </w:tcPr>
          <w:p>
            <w:pPr>
              <w:widowControl/>
              <w:spacing w:line="360" w:lineRule="auto"/>
              <w:jc w:val="center"/>
              <w:rPr>
                <w:rFonts w:hint="eastAsia" w:ascii="等线" w:hAnsi="等线" w:eastAsia="等线" w:cs="SimSun"/>
                <w:kern w:val="0"/>
                <w:sz w:val="22"/>
              </w:rPr>
            </w:pPr>
            <w:r>
              <w:rPr>
                <w:rFonts w:hint="eastAsia" w:ascii="等线" w:hAnsi="等线" w:eastAsia="等线" w:cs="SimSun"/>
                <w:kern w:val="0"/>
                <w:sz w:val="22"/>
              </w:rPr>
              <w:t>3</w:t>
            </w:r>
          </w:p>
        </w:tc>
        <w:tc>
          <w:tcPr>
            <w:tcW w:w="1004" w:type="dxa"/>
            <w:vMerge w:val="continue"/>
            <w:vAlign w:val="center"/>
          </w:tcPr>
          <w:p>
            <w:pPr>
              <w:widowControl/>
              <w:spacing w:line="360" w:lineRule="auto"/>
              <w:jc w:val="left"/>
              <w:rPr>
                <w:rFonts w:hint="eastAsia" w:ascii="等线" w:hAnsi="等线" w:eastAsia="等线" w:cs="SimSun"/>
                <w:kern w:val="0"/>
                <w:sz w:val="22"/>
              </w:rPr>
            </w:pPr>
          </w:p>
        </w:tc>
      </w:tr>
    </w:tbl>
    <w:p>
      <w:pPr>
        <w:spacing w:line="360" w:lineRule="auto"/>
        <w:ind w:firstLine="600" w:firstLineChars="200"/>
        <w:rPr>
          <w:rFonts w:ascii="方正仿宋_GBK" w:eastAsia="方正仿宋_GBK"/>
          <w:sz w:val="30"/>
          <w:szCs w:val="30"/>
        </w:rPr>
      </w:pPr>
    </w:p>
    <w:p>
      <w:pPr>
        <w:spacing w:line="360" w:lineRule="auto"/>
        <w:ind w:firstLine="600" w:firstLineChars="200"/>
        <w:rPr>
          <w:rFonts w:ascii="方正仿宋_GBK" w:eastAsia="方正仿宋_GBK"/>
          <w:sz w:val="30"/>
          <w:szCs w:val="30"/>
        </w:rPr>
      </w:pPr>
      <w:r>
        <w:rPr>
          <w:rFonts w:hint="eastAsia" w:ascii="方正仿宋_GBK" w:eastAsia="方正仿宋_GBK"/>
          <w:sz w:val="30"/>
          <w:szCs w:val="30"/>
        </w:rPr>
        <w:t>说明：</w:t>
      </w:r>
    </w:p>
    <w:p>
      <w:pPr>
        <w:spacing w:line="360" w:lineRule="auto"/>
        <w:ind w:firstLine="573"/>
        <w:outlineLvl w:val="1"/>
        <w:rPr>
          <w:rFonts w:ascii="方正仿宋_GBK" w:eastAsia="方正仿宋_GBK"/>
          <w:b/>
          <w:sz w:val="30"/>
          <w:szCs w:val="30"/>
        </w:rPr>
      </w:pPr>
      <w:r>
        <w:rPr>
          <w:rFonts w:hint="eastAsia" w:ascii="方正仿宋_GBK" w:eastAsia="方正仿宋_GBK"/>
          <w:b/>
          <w:sz w:val="30"/>
          <w:szCs w:val="30"/>
        </w:rPr>
        <w:t>一、关于学术竞赛类</w:t>
      </w:r>
    </w:p>
    <w:p>
      <w:pPr>
        <w:spacing w:line="360" w:lineRule="auto"/>
        <w:ind w:firstLine="570"/>
        <w:rPr>
          <w:rFonts w:ascii="方正仿宋_GBK" w:eastAsia="方正仿宋_GBK"/>
          <w:sz w:val="30"/>
          <w:szCs w:val="30"/>
        </w:rPr>
      </w:pPr>
      <w:r>
        <w:rPr>
          <w:rFonts w:hint="eastAsia" w:ascii="方正仿宋_GBK" w:eastAsia="方正仿宋_GBK"/>
          <w:sz w:val="30"/>
          <w:szCs w:val="30"/>
        </w:rPr>
        <w:t>（一）学术竞赛类应由政府或全国一级学会主办，包含中国互联网+大学生创新创业大赛、外研社21世纪杯、全国大学生数学建模竞赛、全国大学生电子设计竞赛（含邀请赛）、全国大学生系列科技学术竞赛、“挑战杯”、“三创”赛等。非本专业的学术竞赛，参照主办方级别以及竞赛在该专业领域范围内的声誉来进行级别认定。</w:t>
      </w:r>
    </w:p>
    <w:p>
      <w:pPr>
        <w:spacing w:line="360" w:lineRule="auto"/>
        <w:ind w:firstLine="570"/>
        <w:rPr>
          <w:rFonts w:ascii="方正仿宋_GBK" w:eastAsia="方正仿宋_GBK"/>
          <w:sz w:val="30"/>
          <w:szCs w:val="30"/>
        </w:rPr>
      </w:pPr>
      <w:r>
        <w:rPr>
          <w:rFonts w:hint="eastAsia" w:ascii="方正仿宋_GBK" w:eastAsia="方正仿宋_GBK"/>
          <w:sz w:val="30"/>
          <w:szCs w:val="30"/>
        </w:rPr>
        <w:t>（二）以上各类赛事中获得全国第一名（或捧杯）的，可另加5分。</w:t>
      </w:r>
    </w:p>
    <w:p>
      <w:pPr>
        <w:spacing w:line="360" w:lineRule="auto"/>
        <w:ind w:firstLine="570"/>
        <w:rPr>
          <w:rFonts w:ascii="方正仿宋_GBK" w:eastAsia="方正仿宋_GBK"/>
          <w:sz w:val="30"/>
          <w:szCs w:val="30"/>
        </w:rPr>
      </w:pPr>
      <w:r>
        <w:rPr>
          <w:rFonts w:hint="eastAsia" w:ascii="方正仿宋_GBK" w:eastAsia="方正仿宋_GBK"/>
          <w:sz w:val="30"/>
          <w:szCs w:val="30"/>
        </w:rPr>
        <w:t>（三）学术竞赛中同年同一系列赛事取一项的最高分计入，不重复加分；学术竞赛及科研和论文类设最高分限制，不得突破最高分。</w:t>
      </w:r>
    </w:p>
    <w:p>
      <w:pPr>
        <w:spacing w:line="360" w:lineRule="auto"/>
        <w:ind w:firstLine="573"/>
        <w:outlineLvl w:val="1"/>
        <w:rPr>
          <w:rFonts w:ascii="方正仿宋_GBK" w:eastAsia="方正仿宋_GBK"/>
          <w:sz w:val="30"/>
          <w:szCs w:val="30"/>
        </w:rPr>
      </w:pPr>
      <w:r>
        <w:rPr>
          <w:rFonts w:hint="eastAsia" w:ascii="方正仿宋_GBK" w:eastAsia="方正仿宋_GBK"/>
          <w:b/>
          <w:sz w:val="30"/>
          <w:szCs w:val="30"/>
        </w:rPr>
        <w:t>二、关于论文和项目类</w:t>
      </w:r>
    </w:p>
    <w:p>
      <w:pPr>
        <w:spacing w:line="360" w:lineRule="auto"/>
        <w:ind w:firstLine="570"/>
        <w:rPr>
          <w:rFonts w:ascii="方正仿宋_GBK" w:eastAsia="方正仿宋_GBK"/>
          <w:sz w:val="30"/>
          <w:szCs w:val="30"/>
        </w:rPr>
      </w:pPr>
      <w:r>
        <w:rPr>
          <w:rFonts w:hint="eastAsia" w:ascii="方正仿宋_GBK" w:eastAsia="方正仿宋_GBK"/>
          <w:sz w:val="30"/>
          <w:szCs w:val="30"/>
        </w:rPr>
        <w:t>（一）表中所列论文类期刊文章，指学生在校期间以第一作者、四川外国语大学为署名单位发表，或与指导教师联合发表（限指导教师和学生分别为第一、二作者）的与学科专业相关论文。学生为第二作者（指导教师为第一作者）的，按对应等级分值的20%计分。项目必须结题，论文须正式发表，且只能申报最高等级的1篇论文进行加分。</w:t>
      </w:r>
    </w:p>
    <w:p>
      <w:pPr>
        <w:spacing w:line="360" w:lineRule="auto"/>
        <w:ind w:firstLine="570"/>
        <w:rPr>
          <w:rFonts w:ascii="方正仿宋_GBK" w:eastAsia="方正仿宋_GBK"/>
          <w:sz w:val="30"/>
          <w:szCs w:val="30"/>
        </w:rPr>
      </w:pPr>
      <w:r>
        <w:rPr>
          <w:rFonts w:hint="eastAsia" w:ascii="方正仿宋_GBK" w:eastAsia="方正仿宋_GBK"/>
          <w:sz w:val="30"/>
          <w:szCs w:val="30"/>
        </w:rPr>
        <w:t>（二）论文A类成果（40分）：</w:t>
      </w:r>
    </w:p>
    <w:p>
      <w:pPr>
        <w:spacing w:line="360" w:lineRule="auto"/>
        <w:ind w:firstLine="570"/>
        <w:rPr>
          <w:rFonts w:ascii="方正仿宋_GBK" w:eastAsia="方正仿宋_GBK"/>
          <w:sz w:val="30"/>
          <w:szCs w:val="30"/>
        </w:rPr>
      </w:pPr>
      <w:r>
        <w:rPr>
          <w:rFonts w:hint="eastAsia" w:ascii="方正仿宋_GBK" w:eastAsia="方正仿宋_GBK"/>
          <w:sz w:val="30"/>
          <w:szCs w:val="30"/>
        </w:rPr>
        <w:t>1.在《中国社会科学》（中英文版）、《中国科学》（中英文版）、《科学通报》（中英文版）等期刊上发表的学术论文。</w:t>
      </w:r>
    </w:p>
    <w:p>
      <w:pPr>
        <w:spacing w:line="360" w:lineRule="auto"/>
        <w:ind w:firstLine="570"/>
        <w:rPr>
          <w:rFonts w:ascii="方正仿宋_GBK" w:eastAsia="方正仿宋_GBK"/>
          <w:sz w:val="30"/>
          <w:szCs w:val="30"/>
        </w:rPr>
      </w:pPr>
      <w:r>
        <w:rPr>
          <w:rFonts w:hint="eastAsia" w:ascii="方正仿宋_GBK" w:eastAsia="方正仿宋_GBK"/>
          <w:sz w:val="30"/>
          <w:szCs w:val="30"/>
        </w:rPr>
        <w:t>2.被SCI、SSCI收录的一区、二区期刊论文（SSCI采用当年ISI发布的《期刊引用报告（JCR）》中的分区标准，SCI采用当年中国科学院文献情报中心公布的JCR-SCI期刊分区标准，下同）。</w:t>
      </w:r>
    </w:p>
    <w:p>
      <w:pPr>
        <w:spacing w:line="360" w:lineRule="auto"/>
        <w:ind w:firstLine="570"/>
        <w:rPr>
          <w:rFonts w:ascii="方正仿宋_GBK" w:eastAsia="方正仿宋_GBK"/>
          <w:sz w:val="30"/>
          <w:szCs w:val="30"/>
        </w:rPr>
      </w:pPr>
      <w:r>
        <w:rPr>
          <w:rFonts w:hint="eastAsia" w:ascii="方正仿宋_GBK" w:eastAsia="方正仿宋_GBK"/>
          <w:sz w:val="30"/>
          <w:szCs w:val="30"/>
        </w:rPr>
        <w:t>3.被A&amp;HCI收录的期刊论文。</w:t>
      </w:r>
    </w:p>
    <w:p>
      <w:pPr>
        <w:spacing w:line="360" w:lineRule="auto"/>
        <w:ind w:firstLine="570"/>
        <w:rPr>
          <w:rFonts w:ascii="方正仿宋_GBK" w:eastAsia="方正仿宋_GBK"/>
          <w:sz w:val="30"/>
          <w:szCs w:val="30"/>
        </w:rPr>
      </w:pPr>
      <w:r>
        <w:rPr>
          <w:rFonts w:hint="eastAsia" w:ascii="方正仿宋_GBK" w:eastAsia="方正仿宋_GBK"/>
          <w:sz w:val="30"/>
          <w:szCs w:val="30"/>
        </w:rPr>
        <w:t>（三）论文B类成果（35分）：被SCI、SSCI收录的三区、四区期刊论文。</w:t>
      </w:r>
    </w:p>
    <w:p>
      <w:pPr>
        <w:spacing w:line="360" w:lineRule="auto"/>
        <w:ind w:firstLine="570"/>
        <w:rPr>
          <w:rFonts w:ascii="方正仿宋_GBK" w:eastAsia="方正仿宋_GBK"/>
          <w:sz w:val="30"/>
          <w:szCs w:val="30"/>
        </w:rPr>
      </w:pPr>
      <w:r>
        <w:rPr>
          <w:rFonts w:hint="eastAsia" w:ascii="方正仿宋_GBK" w:eastAsia="方正仿宋_GBK"/>
          <w:sz w:val="30"/>
          <w:szCs w:val="30"/>
        </w:rPr>
        <w:t>（四）论文C类成果：</w:t>
      </w:r>
    </w:p>
    <w:p>
      <w:pPr>
        <w:spacing w:line="360" w:lineRule="auto"/>
        <w:ind w:firstLine="570"/>
        <w:rPr>
          <w:rFonts w:ascii="方正仿宋_GBK" w:eastAsia="方正仿宋_GBK"/>
          <w:sz w:val="30"/>
          <w:szCs w:val="30"/>
        </w:rPr>
      </w:pPr>
      <w:r>
        <w:rPr>
          <w:rFonts w:hint="eastAsia" w:ascii="方正仿宋_GBK" w:eastAsia="方正仿宋_GBK"/>
          <w:sz w:val="30"/>
          <w:szCs w:val="30"/>
        </w:rPr>
        <w:t>1.在CSSCI来源期刊（不含扩展版）与集刊、CSCD核心库（不含扩展版）来源期刊上发表的学术论文（30分）。</w:t>
      </w:r>
    </w:p>
    <w:p>
      <w:pPr>
        <w:spacing w:line="360" w:lineRule="auto"/>
        <w:ind w:firstLine="570"/>
        <w:rPr>
          <w:rFonts w:ascii="方正仿宋_GBK" w:eastAsia="方正仿宋_GBK"/>
          <w:sz w:val="30"/>
          <w:szCs w:val="30"/>
        </w:rPr>
      </w:pPr>
      <w:r>
        <w:rPr>
          <w:rFonts w:hint="eastAsia" w:ascii="方正仿宋_GBK" w:eastAsia="方正仿宋_GBK"/>
          <w:sz w:val="30"/>
          <w:szCs w:val="30"/>
        </w:rPr>
        <w:t>2.在CSSCI来源期刊扩展版、CSCD核心库扩展版来源期刊上发表的学术论文；被工程索引核心版（EI Compendex）收录的期刊论文（25分）。</w:t>
      </w:r>
    </w:p>
    <w:p>
      <w:pPr>
        <w:spacing w:line="360" w:lineRule="auto"/>
        <w:ind w:firstLine="570"/>
        <w:rPr>
          <w:rFonts w:ascii="方正仿宋_GBK" w:eastAsia="方正仿宋_GBK"/>
          <w:sz w:val="30"/>
          <w:szCs w:val="30"/>
        </w:rPr>
      </w:pPr>
      <w:r>
        <w:rPr>
          <w:rFonts w:hint="eastAsia" w:ascii="方正仿宋_GBK" w:eastAsia="方正仿宋_GBK"/>
          <w:sz w:val="30"/>
          <w:szCs w:val="30"/>
        </w:rPr>
        <w:t>3.在北图中文核心期刊上发表的学术论文（20分）。</w:t>
      </w:r>
    </w:p>
    <w:p>
      <w:pPr>
        <w:spacing w:line="360" w:lineRule="auto"/>
        <w:ind w:firstLine="573"/>
        <w:outlineLvl w:val="1"/>
        <w:rPr>
          <w:rFonts w:ascii="方正仿宋_GBK" w:eastAsia="方正仿宋_GBK"/>
          <w:b/>
          <w:sz w:val="30"/>
          <w:szCs w:val="30"/>
        </w:rPr>
      </w:pPr>
      <w:r>
        <w:rPr>
          <w:rFonts w:hint="eastAsia" w:ascii="方正仿宋_GBK" w:eastAsia="方正仿宋_GBK"/>
          <w:b/>
          <w:sz w:val="30"/>
          <w:szCs w:val="30"/>
        </w:rPr>
        <w:t>三、志愿服务时长限我校在读期间完成，并须经学院或学校同意。</w:t>
      </w:r>
    </w:p>
    <w:p>
      <w:pPr>
        <w:spacing w:line="360" w:lineRule="auto"/>
        <w:ind w:firstLine="573"/>
        <w:outlineLvl w:val="1"/>
        <w:rPr>
          <w:rFonts w:ascii="方正仿宋_GBK" w:eastAsia="方正仿宋_GBK"/>
          <w:b/>
          <w:sz w:val="30"/>
          <w:szCs w:val="30"/>
        </w:rPr>
      </w:pPr>
      <w:r>
        <w:rPr>
          <w:rFonts w:hint="eastAsia" w:ascii="方正仿宋_GBK" w:eastAsia="方正仿宋_GBK"/>
          <w:b/>
          <w:sz w:val="30"/>
          <w:szCs w:val="30"/>
        </w:rPr>
        <w:t>四、国际组织</w:t>
      </w:r>
    </w:p>
    <w:p>
      <w:pPr>
        <w:spacing w:line="360" w:lineRule="auto"/>
        <w:ind w:firstLine="570"/>
        <w:rPr>
          <w:rFonts w:ascii="方正仿宋_GBK" w:eastAsia="方正仿宋_GBK"/>
          <w:sz w:val="30"/>
          <w:szCs w:val="30"/>
        </w:rPr>
      </w:pPr>
      <w:r>
        <w:rPr>
          <w:rFonts w:hint="eastAsia" w:ascii="方正仿宋_GBK" w:eastAsia="方正仿宋_GBK"/>
          <w:sz w:val="30"/>
          <w:szCs w:val="30"/>
        </w:rPr>
        <w:t>（一）经学校同意参加的国际组织。</w:t>
      </w:r>
    </w:p>
    <w:p>
      <w:pPr>
        <w:spacing w:line="360" w:lineRule="auto"/>
        <w:ind w:firstLine="570"/>
        <w:rPr>
          <w:rFonts w:ascii="方正仿宋_GBK" w:eastAsia="方正仿宋_GBK"/>
          <w:sz w:val="30"/>
          <w:szCs w:val="30"/>
        </w:rPr>
      </w:pPr>
      <w:r>
        <w:rPr>
          <w:rFonts w:hint="eastAsia" w:ascii="方正仿宋_GBK" w:eastAsia="方正仿宋_GBK"/>
          <w:sz w:val="30"/>
          <w:szCs w:val="30"/>
        </w:rPr>
        <w:t>（二）A类为全球性国际组织，如联合国(United Nations)及下属机构、世界卫生组织(WHO)、世界贸易组织(WTO)等。</w:t>
      </w:r>
    </w:p>
    <w:p>
      <w:pPr>
        <w:spacing w:line="360" w:lineRule="auto"/>
        <w:ind w:firstLine="570"/>
        <w:rPr>
          <w:rFonts w:ascii="方正仿宋_GBK" w:eastAsia="方正仿宋_GBK"/>
          <w:sz w:val="30"/>
          <w:szCs w:val="30"/>
        </w:rPr>
      </w:pPr>
      <w:r>
        <w:rPr>
          <w:rFonts w:hint="eastAsia" w:ascii="方正仿宋_GBK" w:eastAsia="方正仿宋_GBK"/>
          <w:sz w:val="30"/>
          <w:szCs w:val="30"/>
        </w:rPr>
        <w:t>（三）B类为区域性国际组织，如亚太经济合作组织(APEC)、欧洲联盟(EU)等。</w:t>
      </w:r>
    </w:p>
    <w:p>
      <w:pPr>
        <w:spacing w:line="360" w:lineRule="auto"/>
        <w:ind w:firstLine="573"/>
        <w:outlineLvl w:val="1"/>
        <w:rPr>
          <w:rFonts w:ascii="方正仿宋_GBK" w:eastAsia="方正仿宋_GBK"/>
          <w:b/>
          <w:sz w:val="30"/>
          <w:szCs w:val="30"/>
        </w:rPr>
      </w:pPr>
      <w:r>
        <w:rPr>
          <w:rFonts w:hint="eastAsia" w:ascii="方正仿宋_GBK" w:eastAsia="方正仿宋_GBK"/>
          <w:b/>
          <w:sz w:val="30"/>
          <w:szCs w:val="30"/>
        </w:rPr>
        <w:t>五、社会实践奖、文艺项目奖、体育项目奖各取标志性项目一项计入加分。</w:t>
      </w:r>
    </w:p>
    <w:p>
      <w:pPr>
        <w:spacing w:line="360" w:lineRule="auto"/>
        <w:ind w:firstLine="573"/>
        <w:outlineLvl w:val="1"/>
        <w:rPr>
          <w:rFonts w:ascii="方正仿宋_GBK" w:eastAsia="方正仿宋_GBK"/>
          <w:b/>
          <w:sz w:val="30"/>
          <w:szCs w:val="30"/>
        </w:rPr>
      </w:pPr>
      <w:r>
        <w:rPr>
          <w:rFonts w:hint="eastAsia" w:ascii="方正仿宋_GBK" w:eastAsia="方正仿宋_GBK"/>
          <w:b/>
          <w:sz w:val="30"/>
          <w:szCs w:val="30"/>
        </w:rPr>
        <w:t>六、学术竞赛或项目类若以团队形式获奖，按照以下比例分配相应加分</w:t>
      </w:r>
    </w:p>
    <w:p>
      <w:pPr>
        <w:spacing w:line="360" w:lineRule="auto"/>
        <w:ind w:firstLine="570"/>
        <w:rPr>
          <w:rFonts w:ascii="方正仿宋_GBK" w:eastAsia="方正仿宋_GBK"/>
          <w:sz w:val="30"/>
          <w:szCs w:val="30"/>
        </w:rPr>
      </w:pPr>
      <w:r>
        <w:rPr>
          <w:rFonts w:hint="eastAsia" w:ascii="方正仿宋_GBK" w:eastAsia="方正仿宋_GBK"/>
          <w:sz w:val="30"/>
          <w:szCs w:val="30"/>
        </w:rPr>
        <w:t>(一)</w:t>
      </w:r>
      <w:r>
        <w:rPr>
          <w:rFonts w:hint="eastAsia" w:ascii="方正仿宋_GBK" w:eastAsia="方正仿宋_GBK"/>
          <w:sz w:val="30"/>
          <w:szCs w:val="30"/>
        </w:rPr>
        <w:tab/>
      </w:r>
      <w:r>
        <w:rPr>
          <w:rFonts w:hint="eastAsia" w:ascii="方正仿宋_GBK" w:eastAsia="方正仿宋_GBK"/>
          <w:sz w:val="30"/>
          <w:szCs w:val="30"/>
        </w:rPr>
        <w:t>团队共2人，第一人/主持人占60%，第二人占40%。</w:t>
      </w:r>
    </w:p>
    <w:p>
      <w:pPr>
        <w:spacing w:line="360" w:lineRule="auto"/>
        <w:ind w:firstLine="570"/>
        <w:rPr>
          <w:rFonts w:ascii="方正仿宋_GBK" w:eastAsia="方正仿宋_GBK"/>
          <w:sz w:val="30"/>
          <w:szCs w:val="30"/>
        </w:rPr>
      </w:pPr>
      <w:r>
        <w:rPr>
          <w:rFonts w:hint="eastAsia" w:ascii="方正仿宋_GBK" w:eastAsia="方正仿宋_GBK"/>
          <w:sz w:val="30"/>
          <w:szCs w:val="30"/>
        </w:rPr>
        <w:t>(二)</w:t>
      </w:r>
      <w:r>
        <w:rPr>
          <w:rFonts w:hint="eastAsia" w:ascii="方正仿宋_GBK" w:eastAsia="方正仿宋_GBK"/>
          <w:sz w:val="30"/>
          <w:szCs w:val="30"/>
        </w:rPr>
        <w:tab/>
      </w:r>
      <w:r>
        <w:rPr>
          <w:rFonts w:hint="eastAsia" w:ascii="方正仿宋_GBK" w:eastAsia="方正仿宋_GBK"/>
          <w:sz w:val="30"/>
          <w:szCs w:val="30"/>
        </w:rPr>
        <w:t>团队共3人，第一人/主持人占50%，第二人占30%，第三人占20%。</w:t>
      </w:r>
    </w:p>
    <w:p>
      <w:pPr>
        <w:spacing w:line="360" w:lineRule="auto"/>
        <w:ind w:firstLine="570"/>
        <w:rPr>
          <w:rFonts w:ascii="方正仿宋_GBK" w:eastAsia="方正仿宋_GBK"/>
          <w:sz w:val="30"/>
          <w:szCs w:val="30"/>
        </w:rPr>
      </w:pPr>
      <w:r>
        <w:rPr>
          <w:rFonts w:hint="eastAsia" w:ascii="方正仿宋_GBK" w:eastAsia="方正仿宋_GBK"/>
          <w:sz w:val="30"/>
          <w:szCs w:val="30"/>
        </w:rPr>
        <w:t>(三)</w:t>
      </w:r>
      <w:r>
        <w:rPr>
          <w:rFonts w:hint="eastAsia" w:ascii="方正仿宋_GBK" w:eastAsia="方正仿宋_GBK"/>
          <w:sz w:val="30"/>
          <w:szCs w:val="30"/>
        </w:rPr>
        <w:tab/>
      </w:r>
      <w:r>
        <w:rPr>
          <w:rFonts w:hint="eastAsia" w:ascii="方正仿宋_GBK" w:eastAsia="方正仿宋_GBK"/>
          <w:sz w:val="30"/>
          <w:szCs w:val="30"/>
        </w:rPr>
        <w:t>团队共4人，第一人/主持人占50%，第二人占25%，第三人占15%，第四人占10%。</w:t>
      </w:r>
    </w:p>
    <w:p>
      <w:pPr>
        <w:spacing w:line="360" w:lineRule="auto"/>
        <w:ind w:firstLine="570"/>
        <w:rPr>
          <w:rFonts w:ascii="方正仿宋_GBK" w:eastAsia="方正仿宋_GBK"/>
          <w:sz w:val="30"/>
          <w:szCs w:val="30"/>
        </w:rPr>
      </w:pPr>
      <w:r>
        <w:rPr>
          <w:rFonts w:hint="eastAsia" w:ascii="方正仿宋_GBK" w:eastAsia="方正仿宋_GBK"/>
          <w:sz w:val="30"/>
          <w:szCs w:val="30"/>
        </w:rPr>
        <w:t>(四)</w:t>
      </w:r>
      <w:r>
        <w:rPr>
          <w:rFonts w:hint="eastAsia" w:ascii="方正仿宋_GBK" w:eastAsia="方正仿宋_GBK"/>
          <w:sz w:val="30"/>
          <w:szCs w:val="30"/>
        </w:rPr>
        <w:tab/>
      </w:r>
      <w:r>
        <w:rPr>
          <w:rFonts w:hint="eastAsia" w:ascii="方正仿宋_GBK" w:eastAsia="方正仿宋_GBK"/>
          <w:sz w:val="30"/>
          <w:szCs w:val="30"/>
        </w:rPr>
        <w:t>团队共5人，第一人/主持人占50%，第二人占20%，第三人占15%，第四人占10%，第五人占5%。</w:t>
      </w:r>
    </w:p>
    <w:p>
      <w:pPr>
        <w:spacing w:line="360" w:lineRule="auto"/>
        <w:ind w:firstLine="570"/>
        <w:rPr>
          <w:rFonts w:ascii="方正仿宋_GBK" w:eastAsia="方正仿宋_GBK"/>
          <w:sz w:val="30"/>
          <w:szCs w:val="30"/>
        </w:rPr>
      </w:pPr>
      <w:r>
        <w:rPr>
          <w:rFonts w:hint="eastAsia" w:ascii="方正仿宋_GBK" w:eastAsia="方正仿宋_GBK"/>
          <w:sz w:val="30"/>
          <w:szCs w:val="30"/>
        </w:rPr>
        <w:t>(五)</w:t>
      </w:r>
      <w:r>
        <w:rPr>
          <w:rFonts w:hint="eastAsia" w:ascii="方正仿宋_GBK" w:eastAsia="方正仿宋_GBK"/>
          <w:sz w:val="30"/>
          <w:szCs w:val="30"/>
        </w:rPr>
        <w:tab/>
      </w:r>
      <w:r>
        <w:rPr>
          <w:rFonts w:hint="eastAsia" w:ascii="方正仿宋_GBK" w:eastAsia="方正仿宋_GBK"/>
          <w:sz w:val="30"/>
          <w:szCs w:val="30"/>
        </w:rPr>
        <w:t>团队超过5人，加分只限排名前五。</w:t>
      </w:r>
    </w:p>
    <w:p>
      <w:pPr>
        <w:spacing w:line="360" w:lineRule="auto"/>
        <w:ind w:firstLine="570"/>
        <w:rPr>
          <w:sz w:val="28"/>
          <w:szCs w:val="28"/>
        </w:rPr>
      </w:pPr>
      <w:r>
        <w:rPr>
          <w:rFonts w:hint="eastAsia" w:ascii="方正仿宋_GBK" w:eastAsia="方正仿宋_GBK"/>
          <w:sz w:val="30"/>
          <w:szCs w:val="30"/>
        </w:rPr>
        <w:t>(六)</w:t>
      </w:r>
      <w:r>
        <w:rPr>
          <w:rFonts w:hint="eastAsia" w:ascii="方正仿宋_GBK" w:eastAsia="方正仿宋_GBK"/>
          <w:sz w:val="30"/>
          <w:szCs w:val="30"/>
        </w:rPr>
        <w:tab/>
      </w:r>
      <w:r>
        <w:rPr>
          <w:rFonts w:hint="eastAsia" w:ascii="方正仿宋_GBK" w:eastAsia="方正仿宋_GBK"/>
          <w:sz w:val="30"/>
          <w:szCs w:val="30"/>
        </w:rPr>
        <w:t>若团队不分排名，则平均分配相应加分。</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新細明體">
    <w:altName w:val="宋体-繁"/>
    <w:panose1 w:val="02020500000000000000"/>
    <w:charset w:val="86"/>
    <w:family w:val="roman"/>
    <w:pitch w:val="default"/>
    <w:sig w:usb0="A00002FF" w:usb1="28CFFCFA" w:usb2="00000016" w:usb3="00000000" w:csb0="00100001"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Courier New">
    <w:panose1 w:val="02070409020205090404"/>
    <w:charset w:val="00"/>
    <w:family w:val="modern"/>
    <w:pitch w:val="default"/>
    <w:sig w:usb0="E0000AFF" w:usb1="40007843" w:usb2="00000001" w:usb3="00000000" w:csb0="400001BF" w:csb1="DFF70000"/>
  </w:font>
  <w:font w:name="細明體">
    <w:altName w:val="苹方-简"/>
    <w:panose1 w:val="02020509000000000000"/>
    <w:charset w:val="00"/>
    <w:family w:val="modern"/>
    <w:pitch w:val="default"/>
    <w:sig w:usb0="A00002FF" w:usb1="28CFFCFA" w:usb2="00000016" w:usb3="00000000" w:csb0="00100001"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繁">
    <w:panose1 w:val="02010600040101010101"/>
    <w:charset w:val="86"/>
    <w:family w:val="auto"/>
    <w:pitch w:val="default"/>
    <w:sig w:usb0="00000287" w:usb1="080F0000" w:usb2="00000000" w:usb3="00000000" w:csb0="0004009F" w:csb1="DFD7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汉仪书宋二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0" w:usb1="00000000" w:usb2="00000010" w:usb3="00000000" w:csb0="00040001" w:csb1="00000000"/>
  </w:font>
  <w:font w:name="9ni9鸦片是有">
    <w:altName w:val="苹方-简"/>
    <w:panose1 w:val="00000000000000000000"/>
    <w:charset w:val="86"/>
    <w:family w:val="roman"/>
    <w:pitch w:val="default"/>
    <w:sig w:usb0="00000000" w:usb1="00000000" w:usb2="00000000" w:usb3="00000000" w:csb0="00000000"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黑体_GBK">
    <w:panose1 w:val="03000509000000000000"/>
    <w:charset w:val="86"/>
    <w:family w:val="script"/>
    <w:pitch w:val="default"/>
    <w:sig w:usb0="00000001" w:usb1="080E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冬青黑體簡體中文">
    <w:panose1 w:val="020B0300000000000000"/>
    <w:charset w:val="86"/>
    <w:family w:val="auto"/>
    <w:pitch w:val="default"/>
    <w:sig w:usb0="A00002BF" w:usb1="1ACF7CFA" w:usb2="00000016" w:usb3="00000000" w:csb0="00060007"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0"/>
    </w:sdtPr>
    <w:sdtContent>
      <w:p>
        <w:pPr>
          <w:pStyle w:val="5"/>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2OTM4YjdhNGZlN2NhYTc4MzJmZjZlYTRhOTZiYWMifQ=="/>
  </w:docVars>
  <w:rsids>
    <w:rsidRoot w:val="00B3468A"/>
    <w:rsid w:val="00015415"/>
    <w:rsid w:val="00041EC6"/>
    <w:rsid w:val="00083F18"/>
    <w:rsid w:val="000935E5"/>
    <w:rsid w:val="000C0842"/>
    <w:rsid w:val="000C1432"/>
    <w:rsid w:val="000E5026"/>
    <w:rsid w:val="001211A0"/>
    <w:rsid w:val="00137C16"/>
    <w:rsid w:val="001551EE"/>
    <w:rsid w:val="00155789"/>
    <w:rsid w:val="001A2071"/>
    <w:rsid w:val="001B3BC5"/>
    <w:rsid w:val="001C20FF"/>
    <w:rsid w:val="001C5B68"/>
    <w:rsid w:val="00221DD5"/>
    <w:rsid w:val="00252224"/>
    <w:rsid w:val="00270249"/>
    <w:rsid w:val="002B564A"/>
    <w:rsid w:val="002D00D3"/>
    <w:rsid w:val="00354637"/>
    <w:rsid w:val="003B3260"/>
    <w:rsid w:val="003B7C55"/>
    <w:rsid w:val="003C531E"/>
    <w:rsid w:val="004063CB"/>
    <w:rsid w:val="00434E58"/>
    <w:rsid w:val="00465B09"/>
    <w:rsid w:val="0048163C"/>
    <w:rsid w:val="00490EF0"/>
    <w:rsid w:val="00493210"/>
    <w:rsid w:val="004B39C1"/>
    <w:rsid w:val="004C3A04"/>
    <w:rsid w:val="004E429B"/>
    <w:rsid w:val="00500411"/>
    <w:rsid w:val="00500EFC"/>
    <w:rsid w:val="00534352"/>
    <w:rsid w:val="0053643A"/>
    <w:rsid w:val="005533B4"/>
    <w:rsid w:val="00573530"/>
    <w:rsid w:val="00585216"/>
    <w:rsid w:val="005E053C"/>
    <w:rsid w:val="005E3224"/>
    <w:rsid w:val="006031C6"/>
    <w:rsid w:val="00674344"/>
    <w:rsid w:val="00691750"/>
    <w:rsid w:val="006D036F"/>
    <w:rsid w:val="006D31D4"/>
    <w:rsid w:val="006E33B8"/>
    <w:rsid w:val="006F14D7"/>
    <w:rsid w:val="006F3573"/>
    <w:rsid w:val="00717ED2"/>
    <w:rsid w:val="00744408"/>
    <w:rsid w:val="00755774"/>
    <w:rsid w:val="007C1E5E"/>
    <w:rsid w:val="007C7C3C"/>
    <w:rsid w:val="007F12D6"/>
    <w:rsid w:val="00816111"/>
    <w:rsid w:val="00833CF4"/>
    <w:rsid w:val="00845CD2"/>
    <w:rsid w:val="008708ED"/>
    <w:rsid w:val="008E3EC3"/>
    <w:rsid w:val="0090166D"/>
    <w:rsid w:val="0090516A"/>
    <w:rsid w:val="009152C5"/>
    <w:rsid w:val="009259E8"/>
    <w:rsid w:val="00966F24"/>
    <w:rsid w:val="009809FE"/>
    <w:rsid w:val="0098562D"/>
    <w:rsid w:val="009D106E"/>
    <w:rsid w:val="009E094D"/>
    <w:rsid w:val="00A30FD5"/>
    <w:rsid w:val="00A47389"/>
    <w:rsid w:val="00A50A36"/>
    <w:rsid w:val="00A83DC3"/>
    <w:rsid w:val="00A84A62"/>
    <w:rsid w:val="00A85C47"/>
    <w:rsid w:val="00B00C7F"/>
    <w:rsid w:val="00B07145"/>
    <w:rsid w:val="00B3468A"/>
    <w:rsid w:val="00B45547"/>
    <w:rsid w:val="00B67E5F"/>
    <w:rsid w:val="00BD2D65"/>
    <w:rsid w:val="00BF3A1D"/>
    <w:rsid w:val="00BF59A7"/>
    <w:rsid w:val="00C022B1"/>
    <w:rsid w:val="00CB6417"/>
    <w:rsid w:val="00CE29D7"/>
    <w:rsid w:val="00D56209"/>
    <w:rsid w:val="00D85369"/>
    <w:rsid w:val="00D860D9"/>
    <w:rsid w:val="00D94F4C"/>
    <w:rsid w:val="00DB065D"/>
    <w:rsid w:val="00DC1347"/>
    <w:rsid w:val="00DD1CEF"/>
    <w:rsid w:val="00DD1EB0"/>
    <w:rsid w:val="00E60A19"/>
    <w:rsid w:val="00F102BF"/>
    <w:rsid w:val="00F54BCA"/>
    <w:rsid w:val="00F940A4"/>
    <w:rsid w:val="00FA3BB7"/>
    <w:rsid w:val="00FA4788"/>
    <w:rsid w:val="00FB6849"/>
    <w:rsid w:val="00FC40FE"/>
    <w:rsid w:val="00FE1159"/>
    <w:rsid w:val="08266128"/>
    <w:rsid w:val="13245653"/>
    <w:rsid w:val="17432E3E"/>
    <w:rsid w:val="1D5C03DC"/>
    <w:rsid w:val="28CB71D6"/>
    <w:rsid w:val="4B22563A"/>
    <w:rsid w:val="6B6EEDC0"/>
    <w:rsid w:val="75FF5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9ni9鸦片是有" w:cs="SimSu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szCs w:val="24"/>
      <w:lang w:val="en-US" w:eastAsia="zh-CN" w:bidi="ar-SA"/>
    </w:rPr>
  </w:style>
  <w:style w:type="character" w:default="1" w:styleId="8">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header"/>
    <w:basedOn w:val="1"/>
    <w:link w:val="12"/>
    <w:qFormat/>
    <w:uiPriority w:val="99"/>
    <w:pPr>
      <w:pBdr>
        <w:bottom w:val="single" w:color="auto" w:sz="6" w:space="1"/>
      </w:pBdr>
      <w:tabs>
        <w:tab w:val="center" w:pos="4153"/>
        <w:tab w:val="right" w:pos="8306"/>
      </w:tabs>
      <w:snapToGrid w:val="0"/>
      <w:jc w:val="center"/>
    </w:pPr>
    <w:rPr>
      <w:rFonts w:ascii="Calibri" w:hAnsi="Calibri" w:eastAsia="9ni9鸦片是有" w:cs="SimSun"/>
      <w:sz w:val="18"/>
      <w:szCs w:val="18"/>
    </w:rPr>
  </w:style>
  <w:style w:type="paragraph" w:styleId="3">
    <w:name w:val="Date"/>
    <w:basedOn w:val="1"/>
    <w:next w:val="1"/>
    <w:link w:val="14"/>
    <w:qFormat/>
    <w:uiPriority w:val="99"/>
    <w:pPr>
      <w:ind w:left="100" w:leftChars="2500"/>
    </w:pPr>
  </w:style>
  <w:style w:type="paragraph" w:styleId="4">
    <w:name w:val="annotation text"/>
    <w:basedOn w:val="1"/>
    <w:link w:val="16"/>
    <w:unhideWhenUsed/>
    <w:qFormat/>
    <w:uiPriority w:val="99"/>
    <w:pPr>
      <w:jc w:val="left"/>
    </w:pPr>
  </w:style>
  <w:style w:type="paragraph" w:styleId="5">
    <w:name w:val="footer"/>
    <w:basedOn w:val="1"/>
    <w:link w:val="13"/>
    <w:qFormat/>
    <w:uiPriority w:val="99"/>
    <w:pPr>
      <w:tabs>
        <w:tab w:val="center" w:pos="4153"/>
        <w:tab w:val="right" w:pos="8306"/>
      </w:tabs>
      <w:snapToGrid w:val="0"/>
      <w:jc w:val="left"/>
    </w:pPr>
    <w:rPr>
      <w:rFonts w:ascii="Calibri" w:hAnsi="Calibri" w:eastAsia="9ni9鸦片是有" w:cs="SimSun"/>
      <w:sz w:val="18"/>
      <w:szCs w:val="18"/>
    </w:rPr>
  </w:style>
  <w:style w:type="paragraph" w:styleId="6">
    <w:name w:val="annotation subject"/>
    <w:basedOn w:val="4"/>
    <w:next w:val="4"/>
    <w:link w:val="17"/>
    <w:unhideWhenUsed/>
    <w:qFormat/>
    <w:uiPriority w:val="99"/>
    <w:rPr>
      <w:b/>
      <w:bCs/>
    </w:rPr>
  </w:style>
  <w:style w:type="paragraph" w:styleId="7">
    <w:name w:val="Balloon Text"/>
    <w:basedOn w:val="1"/>
    <w:link w:val="18"/>
    <w:unhideWhenUsed/>
    <w:qFormat/>
    <w:uiPriority w:val="99"/>
    <w:rPr>
      <w:sz w:val="18"/>
      <w:szCs w:val="18"/>
    </w:rPr>
  </w:style>
  <w:style w:type="character" w:styleId="9">
    <w:name w:val="annotation reference"/>
    <w:basedOn w:val="8"/>
    <w:unhideWhenUsed/>
    <w:qFormat/>
    <w:uiPriority w:val="99"/>
    <w:rPr>
      <w:sz w:val="21"/>
      <w:szCs w:val="21"/>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8"/>
    <w:link w:val="2"/>
    <w:qFormat/>
    <w:uiPriority w:val="99"/>
    <w:rPr>
      <w:sz w:val="18"/>
      <w:szCs w:val="18"/>
    </w:rPr>
  </w:style>
  <w:style w:type="character" w:customStyle="1" w:styleId="13">
    <w:name w:val="页脚 字符"/>
    <w:basedOn w:val="8"/>
    <w:link w:val="5"/>
    <w:qFormat/>
    <w:uiPriority w:val="99"/>
    <w:rPr>
      <w:sz w:val="18"/>
      <w:szCs w:val="18"/>
    </w:rPr>
  </w:style>
  <w:style w:type="character" w:customStyle="1" w:styleId="14">
    <w:name w:val="日期 字符"/>
    <w:basedOn w:val="8"/>
    <w:link w:val="3"/>
    <w:qFormat/>
    <w:uiPriority w:val="99"/>
    <w:rPr>
      <w:rFonts w:ascii="Times New Roman" w:hAnsi="Times New Roman" w:eastAsia="SimSun" w:cs="Times New Roman"/>
      <w:szCs w:val="24"/>
    </w:rPr>
  </w:style>
  <w:style w:type="paragraph" w:customStyle="1" w:styleId="15">
    <w:name w:val="Default"/>
    <w:qFormat/>
    <w:uiPriority w:val="0"/>
    <w:pPr>
      <w:widowControl w:val="0"/>
      <w:autoSpaceDE w:val="0"/>
      <w:autoSpaceDN w:val="0"/>
      <w:adjustRightInd w:val="0"/>
    </w:pPr>
    <w:rPr>
      <w:rFonts w:ascii="方正仿宋_GBK" w:hAnsi="方正仿宋_GBK" w:eastAsia="SimSun" w:cs="方正仿宋_GBK"/>
      <w:color w:val="000000"/>
      <w:sz w:val="24"/>
      <w:szCs w:val="24"/>
      <w:lang w:val="en-US" w:eastAsia="zh-CN" w:bidi="ar-SA"/>
    </w:rPr>
  </w:style>
  <w:style w:type="character" w:customStyle="1" w:styleId="16">
    <w:name w:val="批注文字 字符"/>
    <w:basedOn w:val="8"/>
    <w:link w:val="4"/>
    <w:semiHidden/>
    <w:qFormat/>
    <w:uiPriority w:val="99"/>
    <w:rPr>
      <w:rFonts w:ascii="Times New Roman" w:hAnsi="Times New Roman" w:eastAsia="SimSun" w:cs="Times New Roman"/>
      <w:szCs w:val="24"/>
    </w:rPr>
  </w:style>
  <w:style w:type="character" w:customStyle="1" w:styleId="17">
    <w:name w:val="批注主题 字符"/>
    <w:basedOn w:val="16"/>
    <w:link w:val="6"/>
    <w:semiHidden/>
    <w:qFormat/>
    <w:uiPriority w:val="99"/>
    <w:rPr>
      <w:rFonts w:ascii="Times New Roman" w:hAnsi="Times New Roman" w:eastAsia="SimSun" w:cs="Times New Roman"/>
      <w:b/>
      <w:bCs/>
      <w:szCs w:val="24"/>
    </w:rPr>
  </w:style>
  <w:style w:type="character" w:customStyle="1" w:styleId="18">
    <w:name w:val="批注框文本 字符"/>
    <w:basedOn w:val="8"/>
    <w:link w:val="7"/>
    <w:semiHidden/>
    <w:qFormat/>
    <w:uiPriority w:val="99"/>
    <w:rPr>
      <w:rFonts w:ascii="Times New Roman" w:hAnsi="Times New Roman" w:eastAsia="SimSun" w:cs="Times New Roman"/>
      <w:sz w:val="18"/>
      <w:szCs w:val="18"/>
    </w:rPr>
  </w:style>
  <w:style w:type="paragraph" w:customStyle="1" w:styleId="19">
    <w:name w:val="修订1"/>
    <w:hidden/>
    <w:semiHidden/>
    <w:qFormat/>
    <w:uiPriority w:val="99"/>
    <w:rPr>
      <w:rFonts w:ascii="Times New Roman" w:hAnsi="Times New Roman" w:eastAsia="SimSun"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12</Pages>
  <Words>2454</Words>
  <Characters>2578</Characters>
  <Lines>234</Lines>
  <Paragraphs>201</Paragraphs>
  <ScaleCrop>false</ScaleCrop>
  <LinksUpToDate>false</LinksUpToDate>
  <CharactersWithSpaces>4831</CharactersWithSpaces>
  <Application>WPS Office_3.9.2.6301_F1E327BC-269C-435d-A152-05C5408002CA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2021-06-05T01:07:00Z</dcterms:created>
  <dc:creator>Sky123.Org</dc:creator>
  <cp:lastModifiedBy>orange</cp:lastModifiedBy>
  <cp:lastPrinted>2021-09-06T23:08:00Z</cp:lastPrinted>
  <dcterms:modified xsi:type="dcterms:W3CDTF">2026-09-05T18:19:23Z</dcterms:modified>
  <cp:revision>207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44E183EC731848AE8C20913A04DB0309_13</vt:lpwstr>
  </property>
  <property fmtid="{D5CDD505-2E9C-101B-9397-08002B2CF9AE}" pid="3" name="KSOProductBuildVer">
    <vt:lpwstr>1028-3.9.2.6301</vt:lpwstr>
  </property>
  <property fmtid="{D5CDD505-2E9C-101B-9397-08002B2CF9AE}" pid="4" name="KSOTemplateDocerSaveRecord">
    <vt:lpwstr>eyJoZGlkIjoiY2UyZjQ4YjE0N2UyZTQ4NDcyYjI0NmZiMzZlOGUwMmMiLCJ1c2VySWQiOiI0NTQ5NzcwMjIifQ==</vt:lpwstr>
  </property>
</Properties>
</file>